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Нижнеабдулловский </w:t>
      </w:r>
      <w:r>
        <w:rPr>
          <w:rFonts w:ascii="Arial" w:hAnsi="Arial" w:cs="Arial"/>
          <w:sz w:val="24"/>
          <w:szCs w:val="24"/>
        </w:rPr>
        <w:t>сельский Совет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Альметьевского муниципального района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Татарстан</w:t>
      </w:r>
    </w:p>
    <w:p>
      <w:pPr>
        <w:pStyle w:val="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>
      <w:pPr>
        <w:pStyle w:val="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14 декабря 2022 года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  <w:lang w:val="ru-RU"/>
        </w:rPr>
        <w:t>60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>
        <w:rPr>
          <w:rFonts w:ascii="Arial" w:hAnsi="Arial" w:cs="Arial"/>
          <w:sz w:val="24"/>
          <w:szCs w:val="24"/>
          <w:lang w:val="ru-RU"/>
        </w:rPr>
        <w:t xml:space="preserve">Нижнеабдулловского </w:t>
      </w:r>
      <w:r>
        <w:rPr>
          <w:rFonts w:ascii="Arial" w:hAnsi="Arial" w:cs="Arial"/>
          <w:sz w:val="24"/>
          <w:szCs w:val="24"/>
        </w:rPr>
        <w:t xml:space="preserve">сельского Совета Альметьевского муниципального района от </w:t>
      </w:r>
      <w:r>
        <w:rPr>
          <w:rFonts w:ascii="Arial" w:hAnsi="Arial" w:cs="Arial"/>
          <w:sz w:val="24"/>
          <w:szCs w:val="24"/>
          <w:lang w:val="ru-RU"/>
        </w:rPr>
        <w:t>24</w:t>
      </w:r>
      <w:r>
        <w:rPr>
          <w:rFonts w:ascii="Arial" w:hAnsi="Arial" w:cs="Arial"/>
          <w:sz w:val="24"/>
          <w:szCs w:val="24"/>
        </w:rPr>
        <w:t xml:space="preserve"> августа 2018 года № </w:t>
      </w:r>
      <w:r>
        <w:rPr>
          <w:rFonts w:ascii="Arial" w:hAnsi="Arial" w:cs="Arial"/>
          <w:sz w:val="24"/>
          <w:szCs w:val="24"/>
          <w:lang w:val="ru-RU"/>
        </w:rPr>
        <w:t>62</w:t>
      </w:r>
      <w:r>
        <w:rPr>
          <w:rFonts w:ascii="Arial" w:hAnsi="Arial" w:cs="Arial"/>
          <w:sz w:val="24"/>
          <w:szCs w:val="24"/>
        </w:rPr>
        <w:t xml:space="preserve">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rPr>
          <w:rFonts w:ascii="Arial" w:hAnsi="Arial" w:cs="Arial"/>
          <w:sz w:val="24"/>
          <w:szCs w:val="24"/>
          <w:lang w:val="ru-RU"/>
        </w:rPr>
        <w:t>Нижнеабдулловского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Альметьевского муниципального района»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постановлением Кабинета Министров Республики Татарстан от 17 сентя</w:t>
      </w:r>
      <w:r>
        <w:rPr>
          <w:rFonts w:ascii="Arial" w:hAnsi="Arial" w:cs="Arial"/>
          <w:color w:val="auto"/>
          <w:sz w:val="24"/>
          <w:szCs w:val="24"/>
        </w:rPr>
        <w:t xml:space="preserve">бря 2022 года № 1015 «О внесении изменений в постановление Кабинета Министров Республики Татарстан от 28 марта 2018 года № 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 – счетных органов муниципальных образований, муниципальных служащих в Республике Татарстан», а также в порядке правового мониторинга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 xml:space="preserve">Нижнеабдулловский </w:t>
      </w:r>
      <w:r>
        <w:rPr>
          <w:rFonts w:ascii="Arial" w:hAnsi="Arial" w:cs="Arial"/>
          <w:color w:val="auto"/>
          <w:sz w:val="24"/>
          <w:szCs w:val="24"/>
        </w:rPr>
        <w:t>сельский Совет РЕШИЛ:</w:t>
      </w:r>
    </w:p>
    <w:p>
      <w:pPr>
        <w:pStyle w:val="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1. Внести в решение 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Нижнеабдулловского </w:t>
      </w:r>
      <w:r>
        <w:rPr>
          <w:rFonts w:ascii="Arial" w:hAnsi="Arial" w:cs="Arial"/>
          <w:color w:val="auto"/>
          <w:sz w:val="24"/>
          <w:szCs w:val="24"/>
        </w:rPr>
        <w:t xml:space="preserve">сельского Совета Альметьевского муниципального района от </w:t>
      </w:r>
      <w:r>
        <w:rPr>
          <w:rFonts w:ascii="Arial" w:hAnsi="Arial" w:cs="Arial"/>
          <w:color w:val="auto"/>
          <w:sz w:val="24"/>
          <w:szCs w:val="24"/>
          <w:lang w:val="ru-RU"/>
        </w:rPr>
        <w:t>24</w:t>
      </w:r>
      <w:r>
        <w:rPr>
          <w:rFonts w:ascii="Arial" w:hAnsi="Arial" w:cs="Arial"/>
          <w:color w:val="auto"/>
          <w:sz w:val="24"/>
          <w:szCs w:val="24"/>
        </w:rPr>
        <w:t xml:space="preserve"> августа 2018 года №</w:t>
      </w:r>
      <w:r>
        <w:rPr>
          <w:rFonts w:ascii="Arial" w:hAnsi="Arial" w:cs="Arial"/>
          <w:color w:val="auto"/>
          <w:sz w:val="24"/>
          <w:szCs w:val="24"/>
          <w:lang w:val="ru-RU"/>
        </w:rPr>
        <w:t>62</w:t>
      </w:r>
      <w:r>
        <w:rPr>
          <w:rFonts w:ascii="Arial" w:hAnsi="Arial" w:cs="Arial"/>
          <w:color w:val="auto"/>
          <w:sz w:val="24"/>
          <w:szCs w:val="24"/>
        </w:rPr>
        <w:t xml:space="preserve">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Нижнеабдулловского </w:t>
      </w:r>
      <w:r>
        <w:rPr>
          <w:rFonts w:ascii="Arial" w:hAnsi="Arial" w:cs="Arial"/>
          <w:color w:val="auto"/>
          <w:sz w:val="24"/>
          <w:szCs w:val="24"/>
        </w:rPr>
        <w:t xml:space="preserve">сельского поселения Альметьевского муниципального района» (с изменениями, внесенными решениями 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Нижнеабдулловского </w:t>
      </w:r>
      <w:r>
        <w:rPr>
          <w:rFonts w:ascii="Arial" w:hAnsi="Arial" w:cs="Arial"/>
          <w:color w:val="auto"/>
          <w:sz w:val="24"/>
          <w:szCs w:val="24"/>
        </w:rPr>
        <w:t xml:space="preserve">сельского Совета Альметьевского муниципального района Республики Татарстан от </w:t>
      </w:r>
      <w:r>
        <w:rPr>
          <w:rFonts w:ascii="Arial" w:hAnsi="Arial" w:cs="Arial"/>
          <w:color w:val="auto"/>
          <w:sz w:val="24"/>
          <w:szCs w:val="24"/>
          <w:lang w:val="ru-RU"/>
        </w:rPr>
        <w:t>09</w:t>
      </w:r>
      <w:r>
        <w:rPr>
          <w:rFonts w:ascii="Arial" w:hAnsi="Arial" w:cs="Arial"/>
          <w:color w:val="auto"/>
          <w:sz w:val="24"/>
          <w:szCs w:val="24"/>
        </w:rPr>
        <w:t xml:space="preserve"> декабря 2018 года №</w:t>
      </w:r>
      <w:r>
        <w:rPr>
          <w:rFonts w:ascii="Arial" w:hAnsi="Arial" w:cs="Arial"/>
          <w:color w:val="auto"/>
          <w:sz w:val="24"/>
          <w:szCs w:val="24"/>
          <w:lang w:val="ru-RU"/>
        </w:rPr>
        <w:t>68</w:t>
      </w:r>
      <w:r>
        <w:rPr>
          <w:rFonts w:ascii="Arial" w:hAnsi="Arial" w:cs="Arial"/>
          <w:color w:val="auto"/>
          <w:sz w:val="24"/>
          <w:szCs w:val="24"/>
        </w:rPr>
        <w:t xml:space="preserve"> , от </w:t>
      </w:r>
      <w:r>
        <w:rPr>
          <w:rFonts w:ascii="Arial" w:hAnsi="Arial" w:cs="Arial"/>
          <w:color w:val="auto"/>
          <w:sz w:val="24"/>
          <w:szCs w:val="24"/>
          <w:lang w:val="ru-RU"/>
        </w:rPr>
        <w:t>11</w:t>
      </w:r>
      <w:r>
        <w:rPr>
          <w:rFonts w:ascii="Arial" w:hAnsi="Arial" w:cs="Arial"/>
          <w:color w:val="auto"/>
          <w:sz w:val="24"/>
          <w:szCs w:val="24"/>
        </w:rPr>
        <w:t xml:space="preserve"> декабря 2020 года №</w:t>
      </w:r>
      <w:r>
        <w:rPr>
          <w:rFonts w:ascii="Arial" w:hAnsi="Arial" w:cs="Arial"/>
          <w:color w:val="auto"/>
          <w:sz w:val="24"/>
          <w:szCs w:val="24"/>
          <w:lang w:val="ru-RU"/>
        </w:rPr>
        <w:t>10</w:t>
      </w:r>
      <w:r>
        <w:rPr>
          <w:rFonts w:ascii="Arial" w:hAnsi="Arial" w:cs="Arial"/>
          <w:color w:val="auto"/>
          <w:sz w:val="24"/>
          <w:szCs w:val="24"/>
        </w:rPr>
        <w:t xml:space="preserve">, от </w:t>
      </w:r>
      <w:r>
        <w:rPr>
          <w:rFonts w:ascii="Arial" w:hAnsi="Arial" w:cs="Arial"/>
          <w:color w:val="auto"/>
          <w:sz w:val="24"/>
          <w:szCs w:val="24"/>
          <w:lang w:val="ru-RU"/>
        </w:rPr>
        <w:t>27</w:t>
      </w:r>
      <w:r>
        <w:rPr>
          <w:rFonts w:ascii="Arial" w:hAnsi="Arial" w:cs="Arial"/>
          <w:color w:val="auto"/>
          <w:sz w:val="24"/>
          <w:szCs w:val="24"/>
        </w:rPr>
        <w:t xml:space="preserve"> октября 2022 года №</w:t>
      </w:r>
      <w:r>
        <w:rPr>
          <w:rFonts w:ascii="Arial" w:hAnsi="Arial" w:cs="Arial"/>
          <w:color w:val="auto"/>
          <w:sz w:val="24"/>
          <w:szCs w:val="24"/>
          <w:lang w:val="ru-RU"/>
        </w:rPr>
        <w:t>55</w:t>
      </w:r>
      <w:r>
        <w:rPr>
          <w:rFonts w:ascii="Arial" w:hAnsi="Arial" w:cs="Arial"/>
          <w:color w:val="auto"/>
          <w:sz w:val="24"/>
          <w:szCs w:val="24"/>
        </w:rPr>
        <w:t xml:space="preserve">) следующие изменения: </w:t>
      </w:r>
    </w:p>
    <w:p>
      <w:pPr>
        <w:pStyle w:val="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пункт 3 раздела </w:t>
      </w:r>
      <w:r>
        <w:rPr>
          <w:rFonts w:ascii="Arial" w:hAnsi="Arial" w:cs="Arial"/>
          <w:color w:val="auto"/>
          <w:sz w:val="24"/>
          <w:szCs w:val="24"/>
          <w:lang w:val="en-US"/>
        </w:rPr>
        <w:t>I</w:t>
      </w:r>
      <w:r>
        <w:rPr>
          <w:rFonts w:ascii="Arial" w:hAnsi="Arial" w:cs="Arial"/>
          <w:color w:val="auto"/>
          <w:sz w:val="24"/>
          <w:szCs w:val="24"/>
        </w:rPr>
        <w:t xml:space="preserve"> Приложения «Порядок и условия оплаты труда 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Нижнеабдулловского </w:t>
      </w:r>
      <w:r>
        <w:rPr>
          <w:rFonts w:ascii="Arial" w:hAnsi="Arial" w:cs="Arial"/>
          <w:color w:val="auto"/>
          <w:sz w:val="24"/>
          <w:szCs w:val="24"/>
        </w:rPr>
        <w:t xml:space="preserve"> сельского поселения Альметьевского муниципального района» (далее – Порядок) изложить в следующей редакции:</w:t>
      </w:r>
    </w:p>
    <w:p>
      <w:pPr>
        <w:pStyle w:val="5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«3. Главе, заместителю главы помимо ежемесячного денежного вознаграждения и единовременной выплаты при предоставлении ежегодного оплачиваемого отпуска дополнительно выплачиваются ежемесячное денежное поощрение, ежемесячная надбавка за выслугу лет, премии в соответствии с муниципальными правовыми актами.»; </w:t>
      </w:r>
    </w:p>
    <w:p>
      <w:pPr>
        <w:pStyle w:val="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пункт 4 раздела </w:t>
      </w:r>
      <w:r>
        <w:rPr>
          <w:rFonts w:ascii="Arial" w:hAnsi="Arial" w:cs="Arial"/>
          <w:color w:val="auto"/>
          <w:sz w:val="24"/>
          <w:szCs w:val="24"/>
          <w:lang w:val="en-US"/>
        </w:rPr>
        <w:t>I</w:t>
      </w:r>
      <w:r>
        <w:rPr>
          <w:rFonts w:ascii="Arial" w:hAnsi="Arial" w:cs="Arial"/>
          <w:color w:val="auto"/>
          <w:sz w:val="24"/>
          <w:szCs w:val="24"/>
        </w:rPr>
        <w:t xml:space="preserve"> Порядка изложить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«4. Размер расходов на оплату труда главы, заместителя главы в части выплаты ежемесячного денежного поощрения не может превышать норматив, составляющий для глав муниципальных образований, отнесенных к двенадцатой группе оплаты труда – 9,26 ежемесячного денежного вознаграждения в год, для их заместителей – 9,18 ежемесячного денежного вознаграждения в год.»;  </w:t>
      </w:r>
    </w:p>
    <w:p>
      <w:pPr>
        <w:pStyle w:val="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наименование раздела </w:t>
      </w:r>
      <w:r>
        <w:rPr>
          <w:rFonts w:ascii="Arial" w:hAnsi="Arial" w:cs="Arial"/>
          <w:color w:val="auto"/>
          <w:sz w:val="24"/>
          <w:szCs w:val="24"/>
          <w:lang w:val="en-US"/>
        </w:rPr>
        <w:t>II</w:t>
      </w:r>
      <w:r>
        <w:rPr>
          <w:rFonts w:ascii="Arial" w:hAnsi="Arial" w:cs="Arial"/>
          <w:color w:val="auto"/>
          <w:sz w:val="24"/>
          <w:szCs w:val="24"/>
        </w:rPr>
        <w:t xml:space="preserve"> Порядка изложить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«</w:t>
      </w:r>
      <w:r>
        <w:rPr>
          <w:rFonts w:ascii="Arial" w:hAnsi="Arial" w:cs="Arial"/>
          <w:color w:val="auto"/>
          <w:sz w:val="24"/>
          <w:szCs w:val="24"/>
          <w:lang w:val="en-US"/>
        </w:rPr>
        <w:t>II</w:t>
      </w:r>
      <w:r>
        <w:rPr>
          <w:rFonts w:ascii="Arial" w:hAnsi="Arial" w:cs="Arial"/>
          <w:color w:val="auto"/>
          <w:sz w:val="24"/>
          <w:szCs w:val="24"/>
        </w:rPr>
        <w:t xml:space="preserve">. Оплата труда муниципальных служащих </w:t>
      </w:r>
      <w:r>
        <w:rPr>
          <w:rFonts w:ascii="Arial" w:hAnsi="Arial" w:cs="Arial"/>
          <w:color w:val="auto"/>
          <w:sz w:val="24"/>
          <w:szCs w:val="24"/>
          <w:lang w:val="ru-RU"/>
        </w:rPr>
        <w:t>Нижнеабдулловского</w:t>
      </w:r>
      <w:r>
        <w:rPr>
          <w:rFonts w:ascii="Arial" w:hAnsi="Arial" w:cs="Arial"/>
          <w:color w:val="auto"/>
          <w:sz w:val="24"/>
          <w:szCs w:val="24"/>
        </w:rPr>
        <w:t xml:space="preserve"> сельского поселения Альметьевского муниципального района»;</w:t>
      </w:r>
    </w:p>
    <w:p>
      <w:pPr>
        <w:pStyle w:val="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 пункте 6 раздела </w:t>
      </w:r>
      <w:r>
        <w:rPr>
          <w:rFonts w:ascii="Arial" w:hAnsi="Arial" w:cs="Arial"/>
          <w:color w:val="auto"/>
          <w:sz w:val="24"/>
          <w:szCs w:val="24"/>
          <w:lang w:val="en-US"/>
        </w:rPr>
        <w:t>II</w:t>
      </w:r>
      <w:r>
        <w:rPr>
          <w:rFonts w:ascii="Arial" w:hAnsi="Arial" w:cs="Arial"/>
          <w:color w:val="auto"/>
          <w:sz w:val="24"/>
          <w:szCs w:val="24"/>
        </w:rPr>
        <w:t xml:space="preserve"> Порядка: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а) дополнить подпунктом 8) следующего содержания:</w:t>
      </w:r>
    </w:p>
    <w:p>
      <w:pPr>
        <w:pStyle w:val="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«8) ежемесячная компенсационная выплата за работу в условиях ненормированного служебного дня;»;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б) дополнить подпунктом 9) следующего содержания:</w:t>
      </w:r>
    </w:p>
    <w:p>
      <w:pPr>
        <w:pStyle w:val="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«9) Ежемесячная надбавка к должностному окладу за профильную ученую степень кандидата или доктора наук;»;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в) подпункт 8) считать подпунктом 10);</w:t>
      </w:r>
    </w:p>
    <w:p>
      <w:pPr>
        <w:pStyle w:val="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 пункте 6 раздела </w:t>
      </w:r>
      <w:r>
        <w:rPr>
          <w:rFonts w:ascii="Arial" w:hAnsi="Arial" w:cs="Arial"/>
          <w:color w:val="auto"/>
          <w:sz w:val="24"/>
          <w:szCs w:val="24"/>
          <w:lang w:val="en-US"/>
        </w:rPr>
        <w:t>II</w:t>
      </w:r>
      <w:r>
        <w:rPr>
          <w:rFonts w:ascii="Arial" w:hAnsi="Arial" w:cs="Arial"/>
          <w:color w:val="auto"/>
          <w:sz w:val="24"/>
          <w:szCs w:val="24"/>
        </w:rPr>
        <w:t xml:space="preserve"> Порядка: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а) подпункт 4) изложить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«4) премии за выполнение особо важных и сложных заданий, не ограниченные максимальным размером, порядок выплаты которых определяется представителем нанимателя (работодателя) с учетом обеспечения выполнения задач и функций муниципального органа, исполнения должностной инструкции, в том числе ежемесячная премия за выполнение особо важных и сложных заданий в размере одного процента должностного оклада, в пределах установленного фонда оплаты труда;»;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б) подпункт 5) изложить в следующей редакции: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«5) ежемесячное денежное поощрение в размере, не превышающем        18 процентов должностного оклада, за исключением случая назначения при преобразовании структуры органов местного самоуправления в связи с внедрением стандартов структуры органов местного самоуправления муниципального служащего на должность муниципальной службы с меньшим должностным окладом, чем замещаемая им ранее, при котором расчет размера денежного поощрения производится с учетом обеспечения доведения денежного содержания муниципального служащего до размера денежного содержания по ранее замещаемой им должности;»;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в) подпункт 6) дополнить абзацами следующего содержания:</w:t>
      </w:r>
    </w:p>
    <w:p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«В случае назначения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расчет размера его оклада за классный чин до присвоения первого классного чина для группы должностей, к которой относится замещаемая им должность, производится исходя из процентной ставки к должностному окладу, равной 3 процентам.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В случае если муниципальный служащий назначен на должность муниципальной службы, которая относится к более низкой группе должностей муниципальной службы, чем замещаемая им ранее, и по ранее замещаемой должности ему присвоен классный чин, расчет размера оклада за классный чин производится исходя из процентной ставки к должностному окладу, равной 7 процентам.»;</w:t>
      </w:r>
    </w:p>
    <w:p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г) дополнить подпунктом 9) следующего содержания: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«9) ежемесячная компенсационная выплата за работу в условиях ненормированного служебного дня в размере, не превышающем 2 процентов должностного оклада;»;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д) дополнить подпунктом 10) следующего содержания:</w:t>
      </w:r>
    </w:p>
    <w:p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«10) ежемесячная надбавка к должностному окладу:</w:t>
      </w:r>
    </w:p>
    <w:p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за профильную ученую степень кандидата наук - в размере, не превышающем 1,5 процента должностного оклада;</w:t>
      </w:r>
    </w:p>
    <w:p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за профильную ученую степень доктора наук - в размере, не превышающем 2 процентов должностного оклада;»;</w:t>
      </w:r>
    </w:p>
    <w:p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е) подпункт 9) считать подпунктом 11);</w:t>
      </w:r>
    </w:p>
    <w:p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1.6. таблицу в Приложении № 1 к решению изложить в следующей редакции:</w:t>
      </w:r>
    </w:p>
    <w:p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«Размеры должностных окладов муниципальных служащих</w:t>
      </w:r>
    </w:p>
    <w:p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 xml:space="preserve">Нижнеабдулловского </w:t>
      </w:r>
      <w:r>
        <w:rPr>
          <w:rFonts w:ascii="Arial" w:hAnsi="Arial" w:cs="Arial"/>
          <w:color w:val="auto"/>
          <w:sz w:val="24"/>
          <w:szCs w:val="24"/>
        </w:rPr>
        <w:t>сельского поселения</w:t>
      </w:r>
    </w:p>
    <w:p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Альметьевского муниципального района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4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535" w:type="dxa"/>
          </w:tcPr>
          <w:p>
            <w:pPr>
              <w:autoSpaceDE w:val="0"/>
              <w:autoSpaceDN w:val="0"/>
              <w:adjustRightInd w:val="0"/>
              <w:spacing w:before="220"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37" w:type="dxa"/>
          </w:tcPr>
          <w:p>
            <w:pPr>
              <w:autoSpaceDE w:val="0"/>
              <w:autoSpaceDN w:val="0"/>
              <w:adjustRightInd w:val="0"/>
              <w:spacing w:before="220"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Должностной оклад </w:t>
            </w:r>
          </w:p>
          <w:p>
            <w:pPr>
              <w:autoSpaceDE w:val="0"/>
              <w:autoSpaceDN w:val="0"/>
              <w:adjustRightInd w:val="0"/>
              <w:spacing w:before="220"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(12 группа оплаты труда)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autoSpaceDE w:val="0"/>
              <w:autoSpaceDN w:val="0"/>
              <w:adjustRightInd w:val="0"/>
              <w:spacing w:before="220"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Руководитель исполнительного комитета</w:t>
            </w:r>
          </w:p>
        </w:tc>
        <w:tc>
          <w:tcPr>
            <w:tcW w:w="4537" w:type="dxa"/>
          </w:tcPr>
          <w:p>
            <w:pPr>
              <w:autoSpaceDE w:val="0"/>
              <w:autoSpaceDN w:val="0"/>
              <w:adjustRightInd w:val="0"/>
              <w:spacing w:before="220"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220"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17 383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autoSpaceDE w:val="0"/>
              <w:autoSpaceDN w:val="0"/>
              <w:adjustRightInd w:val="0"/>
              <w:spacing w:before="220"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Заместитель руководителя исполнительного комитета</w:t>
            </w:r>
          </w:p>
        </w:tc>
        <w:tc>
          <w:tcPr>
            <w:tcW w:w="4537" w:type="dxa"/>
          </w:tcPr>
          <w:p>
            <w:pPr>
              <w:autoSpaceDE w:val="0"/>
              <w:autoSpaceDN w:val="0"/>
              <w:adjustRightInd w:val="0"/>
              <w:spacing w:before="220"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220"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16 876»</w:t>
            </w:r>
          </w:p>
        </w:tc>
      </w:tr>
    </w:tbl>
    <w:p>
      <w:pPr>
        <w:autoSpaceDE w:val="0"/>
        <w:autoSpaceDN w:val="0"/>
        <w:adjustRightInd w:val="0"/>
        <w:spacing w:before="220"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1.7. таблицу в Приложении № 2 к решению изложить в следующей редакции: </w:t>
      </w:r>
      <w:r>
        <w:rPr>
          <w:rFonts w:ascii="Arial" w:hAnsi="Arial" w:cs="Arial"/>
          <w:color w:val="auto"/>
          <w:sz w:val="24"/>
          <w:szCs w:val="24"/>
        </w:rPr>
        <w:tab/>
      </w:r>
    </w:p>
    <w:p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«Размеры ежемесячного денежного вознаграждения</w:t>
      </w:r>
    </w:p>
    <w:p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выборных должностных лиц местного самоуправления,</w:t>
      </w:r>
    </w:p>
    <w:p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осуществляющих свои полномочия на постоянной основе </w:t>
      </w:r>
      <w:r>
        <w:rPr>
          <w:rFonts w:ascii="Arial" w:hAnsi="Arial" w:cs="Arial"/>
          <w:color w:val="auto"/>
          <w:sz w:val="24"/>
          <w:szCs w:val="24"/>
          <w:lang w:val="ru-RU"/>
        </w:rPr>
        <w:t>Нижнеабдулловского</w:t>
      </w:r>
      <w:r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</w:p>
    <w:p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Альметьевского муниципального района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4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autoSpaceDE w:val="0"/>
              <w:autoSpaceDN w:val="0"/>
              <w:adjustRightInd w:val="0"/>
              <w:spacing w:before="220"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37" w:type="dxa"/>
          </w:tcPr>
          <w:p>
            <w:pPr>
              <w:autoSpaceDE w:val="0"/>
              <w:autoSpaceDN w:val="0"/>
              <w:adjustRightInd w:val="0"/>
              <w:spacing w:before="220"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Размер ежемесячного денежного вознаграждения  </w:t>
            </w:r>
          </w:p>
          <w:p>
            <w:pPr>
              <w:autoSpaceDE w:val="0"/>
              <w:autoSpaceDN w:val="0"/>
              <w:adjustRightInd w:val="0"/>
              <w:spacing w:before="220"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(12 группа оплаты труда)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535" w:type="dxa"/>
          </w:tcPr>
          <w:p>
            <w:pPr>
              <w:autoSpaceDE w:val="0"/>
              <w:autoSpaceDN w:val="0"/>
              <w:adjustRightInd w:val="0"/>
              <w:spacing w:before="220"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Глава</w:t>
            </w:r>
          </w:p>
        </w:tc>
        <w:tc>
          <w:tcPr>
            <w:tcW w:w="4537" w:type="dxa"/>
          </w:tcPr>
          <w:p>
            <w:pPr>
              <w:autoSpaceDE w:val="0"/>
              <w:autoSpaceDN w:val="0"/>
              <w:adjustRightInd w:val="0"/>
              <w:spacing w:before="220" w:after="0" w:line="240" w:lineRule="auto"/>
              <w:contextualSpacing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17 390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autoSpaceDE w:val="0"/>
              <w:autoSpaceDN w:val="0"/>
              <w:adjustRightInd w:val="0"/>
              <w:spacing w:before="220"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Заместитель главы</w:t>
            </w:r>
          </w:p>
        </w:tc>
        <w:tc>
          <w:tcPr>
            <w:tcW w:w="4537" w:type="dxa"/>
          </w:tcPr>
          <w:p>
            <w:pPr>
              <w:autoSpaceDE w:val="0"/>
              <w:autoSpaceDN w:val="0"/>
              <w:adjustRightInd w:val="0"/>
              <w:spacing w:before="220" w:after="0" w:line="240" w:lineRule="auto"/>
              <w:contextualSpacing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12 689»</w:t>
            </w:r>
          </w:p>
        </w:tc>
      </w:tr>
    </w:tbl>
    <w:p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2. Обнародовать настоящее решение на специальных стендах, расположенных на территории </w:t>
      </w:r>
      <w:r>
        <w:rPr>
          <w:rFonts w:ascii="Arial" w:hAnsi="Arial" w:cs="Arial"/>
          <w:color w:val="auto"/>
          <w:sz w:val="24"/>
          <w:szCs w:val="24"/>
          <w:lang w:val="ru-RU"/>
        </w:rPr>
        <w:t>село Нижнее Абдулово, ул.Ленина, дом 92,д.Кзыл Кеч, ул.Кзыл Кеч, дом 12</w:t>
      </w:r>
      <w:r>
        <w:rPr>
          <w:rFonts w:ascii="Arial" w:hAnsi="Arial" w:cs="Arial"/>
          <w:color w:val="auto"/>
          <w:sz w:val="24"/>
          <w:szCs w:val="24"/>
        </w:rPr>
        <w:t>, разместить на «Официальном портале правовой информации Республики Татарстан» (</w:t>
      </w:r>
      <w:r>
        <w:rPr>
          <w:rFonts w:ascii="Arial" w:hAnsi="Arial" w:cs="Arial"/>
          <w:color w:val="auto"/>
          <w:sz w:val="24"/>
          <w:szCs w:val="24"/>
          <w:lang w:val="en-US"/>
        </w:rPr>
        <w:t>PRAVO</w:t>
      </w:r>
      <w:r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  <w:lang w:val="en-US"/>
        </w:rPr>
        <w:t>TATARSTAN</w:t>
      </w:r>
      <w:r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  <w:lang w:val="en-US"/>
        </w:rPr>
        <w:t>RU</w:t>
      </w:r>
      <w:r>
        <w:rPr>
          <w:rFonts w:ascii="Arial" w:hAnsi="Arial" w:cs="Arial"/>
          <w:color w:val="auto"/>
          <w:sz w:val="24"/>
          <w:szCs w:val="24"/>
        </w:rPr>
        <w:t>), а также разместить на сайте Альметьевского муниципального района Республики Татарстан в информационно-телекоммуникационной сети «Интернет».</w:t>
      </w:r>
    </w:p>
    <w:p>
      <w:pPr>
        <w:spacing w:after="0" w:line="240" w:lineRule="auto"/>
        <w:ind w:firstLine="53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3. Пункт 1.2., подпункт б) пункта 1.5., пункты 1.6., 1.7. настоящего решения вступают в силу с 1 января 2023 года.</w:t>
      </w:r>
    </w:p>
    <w:p>
      <w:pPr>
        <w:spacing w:after="0" w:line="240" w:lineRule="auto"/>
        <w:ind w:firstLine="53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4. Контроль за исполнением настоящего решения возложить на Главу сельского поселения.</w:t>
      </w:r>
    </w:p>
    <w:p>
      <w:pPr>
        <w:spacing w:line="240" w:lineRule="auto"/>
        <w:contextualSpacing/>
        <w:jc w:val="both"/>
        <w:rPr>
          <w:rFonts w:ascii="Arial" w:hAnsi="Arial" w:cs="Arial"/>
          <w:strike/>
          <w:color w:val="auto"/>
          <w:sz w:val="16"/>
          <w:szCs w:val="16"/>
        </w:rPr>
      </w:pPr>
    </w:p>
    <w:p>
      <w:pPr>
        <w:spacing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Глава </w:t>
      </w:r>
      <w:r>
        <w:rPr>
          <w:rFonts w:ascii="Arial" w:hAnsi="Arial" w:cs="Arial"/>
          <w:color w:val="auto"/>
          <w:sz w:val="24"/>
          <w:szCs w:val="24"/>
          <w:lang w:val="ru-RU"/>
        </w:rPr>
        <w:t>Нижнеабдулловского</w:t>
      </w: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</w:t>
      </w:r>
    </w:p>
    <w:p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</w:rPr>
        <w:t xml:space="preserve">сельского поселения  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                                                                            Р.Р</w:t>
      </w:r>
      <w:r>
        <w:rPr>
          <w:rFonts w:ascii="Arial" w:hAnsi="Arial" w:cs="Arial"/>
          <w:sz w:val="24"/>
          <w:szCs w:val="24"/>
          <w:lang w:val="ru-RU"/>
        </w:rPr>
        <w:t>.Юнусов</w:t>
      </w:r>
    </w:p>
    <w:sectPr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41A9"/>
    <w:multiLevelType w:val="multilevel"/>
    <w:tmpl w:val="0D8441A9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eastAsiaTheme="minorHAnsi"/>
      </w:rPr>
    </w:lvl>
    <w:lvl w:ilvl="1" w:tentative="0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29"/>
    <w:rsid w:val="000A23AE"/>
    <w:rsid w:val="000E2A00"/>
    <w:rsid w:val="00163670"/>
    <w:rsid w:val="00213CCF"/>
    <w:rsid w:val="002A4E13"/>
    <w:rsid w:val="002D6F23"/>
    <w:rsid w:val="00310BF8"/>
    <w:rsid w:val="003505F9"/>
    <w:rsid w:val="00390F4A"/>
    <w:rsid w:val="003A27AA"/>
    <w:rsid w:val="0042316E"/>
    <w:rsid w:val="00425C78"/>
    <w:rsid w:val="004334B0"/>
    <w:rsid w:val="004F2A38"/>
    <w:rsid w:val="00583022"/>
    <w:rsid w:val="005F5456"/>
    <w:rsid w:val="00631B64"/>
    <w:rsid w:val="006822B3"/>
    <w:rsid w:val="00683837"/>
    <w:rsid w:val="00687F01"/>
    <w:rsid w:val="006B069F"/>
    <w:rsid w:val="006B3D94"/>
    <w:rsid w:val="006C69C5"/>
    <w:rsid w:val="007C7CEC"/>
    <w:rsid w:val="00847D34"/>
    <w:rsid w:val="008B7636"/>
    <w:rsid w:val="008C73E0"/>
    <w:rsid w:val="008F7B60"/>
    <w:rsid w:val="0098179A"/>
    <w:rsid w:val="00986B69"/>
    <w:rsid w:val="00995B16"/>
    <w:rsid w:val="009B18BE"/>
    <w:rsid w:val="009C7C7B"/>
    <w:rsid w:val="00AC1F10"/>
    <w:rsid w:val="00B245DA"/>
    <w:rsid w:val="00BA5F27"/>
    <w:rsid w:val="00BA7373"/>
    <w:rsid w:val="00BC711F"/>
    <w:rsid w:val="00C451C0"/>
    <w:rsid w:val="00C719FD"/>
    <w:rsid w:val="00D07B29"/>
    <w:rsid w:val="00D91F80"/>
    <w:rsid w:val="00DB208E"/>
    <w:rsid w:val="00DC20D8"/>
    <w:rsid w:val="00DF653A"/>
    <w:rsid w:val="00E84E77"/>
    <w:rsid w:val="00EE0004"/>
    <w:rsid w:val="00EF34FD"/>
    <w:rsid w:val="00F53F54"/>
    <w:rsid w:val="00F61233"/>
    <w:rsid w:val="2ADD06BE"/>
    <w:rsid w:val="348B0BDD"/>
    <w:rsid w:val="624E1C58"/>
    <w:rsid w:val="7D2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1117</Words>
  <Characters>6367</Characters>
  <Lines>53</Lines>
  <Paragraphs>14</Paragraphs>
  <TotalTime>696</TotalTime>
  <ScaleCrop>false</ScaleCrop>
  <LinksUpToDate>false</LinksUpToDate>
  <CharactersWithSpaces>7470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2022-11-17T08:18:00Z</dcterms:created>
  <dc:creator>alme-admin-fo</dc:creator>
  <cp:lastModifiedBy>Пользователь</cp:lastModifiedBy>
  <cp:lastPrinted>2022-12-14T04:47:14Z</cp:lastPrinted>
  <dcterms:modified xsi:type="dcterms:W3CDTF">2022-12-14T04:47:38Z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